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9" w:rsidRDefault="001551D9" w:rsidP="001551D9">
      <w:pPr>
        <w:widowControl w:val="0"/>
        <w:tabs>
          <w:tab w:val="left" w:pos="252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5D2805" w:rsidRPr="001D451A" w:rsidRDefault="005D2805" w:rsidP="005D2805">
      <w:pPr>
        <w:spacing w:line="288" w:lineRule="auto"/>
        <w:jc w:val="both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551FA8">
        <w:rPr>
          <w:rFonts w:ascii="Times New Roman" w:hAnsi="Times New Roman" w:cs="Times New Roman"/>
        </w:rPr>
        <w:t>августе</w:t>
      </w:r>
      <w:r w:rsidRPr="001D451A">
        <w:rPr>
          <w:rFonts w:ascii="Times New Roman" w:hAnsi="Times New Roman" w:cs="Times New Roman"/>
        </w:rPr>
        <w:t xml:space="preserve"> 2020 года оборот оптовой торговли составил </w:t>
      </w:r>
      <w:r w:rsidR="004901A9">
        <w:rPr>
          <w:rFonts w:ascii="Times New Roman" w:hAnsi="Times New Roman" w:cs="Times New Roman"/>
        </w:rPr>
        <w:t>2352,8</w:t>
      </w:r>
      <w:r w:rsidRPr="001D451A">
        <w:rPr>
          <w:rFonts w:ascii="Times New Roman" w:hAnsi="Times New Roman" w:cs="Times New Roman"/>
        </w:rPr>
        <w:t xml:space="preserve"> миллиарда рублей, или </w:t>
      </w:r>
      <w:r w:rsidR="004901A9">
        <w:rPr>
          <w:rFonts w:ascii="Times New Roman" w:hAnsi="Times New Roman" w:cs="Times New Roman"/>
        </w:rPr>
        <w:t>90,3</w:t>
      </w:r>
      <w:r w:rsidR="002B76F0">
        <w:rPr>
          <w:rFonts w:ascii="Times New Roman" w:hAnsi="Times New Roman" w:cs="Times New Roman"/>
        </w:rPr>
        <w:t xml:space="preserve"> </w:t>
      </w:r>
      <w:r w:rsidRPr="001D451A">
        <w:rPr>
          <w:rFonts w:ascii="Times New Roman" w:hAnsi="Times New Roman" w:cs="Times New Roman"/>
        </w:rPr>
        <w:t>процента (в сопоставимых ценах)  к  соответствующему периоду предыдущего года. В январе-</w:t>
      </w:r>
      <w:r w:rsidR="004901A9">
        <w:rPr>
          <w:rFonts w:ascii="Times New Roman" w:hAnsi="Times New Roman" w:cs="Times New Roman"/>
        </w:rPr>
        <w:t>августе</w:t>
      </w:r>
      <w:r w:rsidRPr="001D451A">
        <w:rPr>
          <w:rFonts w:ascii="Times New Roman" w:hAnsi="Times New Roman" w:cs="Times New Roman"/>
        </w:rPr>
        <w:t xml:space="preserve"> 2020 года – </w:t>
      </w:r>
      <w:r w:rsidR="004901A9">
        <w:rPr>
          <w:rFonts w:ascii="Times New Roman" w:hAnsi="Times New Roman" w:cs="Times New Roman"/>
        </w:rPr>
        <w:t>18158,9</w:t>
      </w:r>
      <w:r w:rsidRPr="001D451A">
        <w:rPr>
          <w:rFonts w:ascii="Times New Roman" w:hAnsi="Times New Roman" w:cs="Times New Roman"/>
        </w:rPr>
        <w:t xml:space="preserve"> миллиардов и 94,</w:t>
      </w:r>
      <w:r w:rsidR="004901A9">
        <w:rPr>
          <w:rFonts w:ascii="Times New Roman" w:hAnsi="Times New Roman" w:cs="Times New Roman"/>
        </w:rPr>
        <w:t>5</w:t>
      </w:r>
      <w:r w:rsidRPr="001D451A">
        <w:rPr>
          <w:rFonts w:ascii="Times New Roman" w:hAnsi="Times New Roman" w:cs="Times New Roman"/>
        </w:rPr>
        <w:t xml:space="preserve"> процента.</w:t>
      </w:r>
    </w:p>
    <w:p w:rsidR="001551D9" w:rsidRDefault="001551D9" w:rsidP="00280D35">
      <w:pPr>
        <w:widowControl w:val="0"/>
        <w:tabs>
          <w:tab w:val="left" w:pos="2520"/>
        </w:tabs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оптовой торговли</w:t>
      </w:r>
      <w:r w:rsidRPr="001D451A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51D9" w:rsidRPr="001D451A" w:rsidRDefault="001551D9" w:rsidP="001551D9">
      <w:pPr>
        <w:spacing w:line="240" w:lineRule="auto"/>
        <w:jc w:val="center"/>
        <w:rPr>
          <w:bCs/>
          <w:sz w:val="28"/>
          <w:szCs w:val="28"/>
        </w:rPr>
      </w:pPr>
      <w:r w:rsidRPr="003D01A8">
        <w:rPr>
          <w:b/>
          <w:bCs/>
          <w:sz w:val="28"/>
          <w:szCs w:val="28"/>
        </w:rPr>
        <w:t>Оборот оптовой торговли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056"/>
        <w:gridCol w:w="1544"/>
        <w:gridCol w:w="1522"/>
        <w:gridCol w:w="1523"/>
        <w:gridCol w:w="1568"/>
        <w:gridCol w:w="1568"/>
      </w:tblGrid>
      <w:tr w:rsidR="001551D9" w:rsidTr="0086423E">
        <w:trPr>
          <w:trHeight w:val="113"/>
        </w:trPr>
        <w:tc>
          <w:tcPr>
            <w:tcW w:w="2056" w:type="dxa"/>
            <w:vMerge w:val="restart"/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  <w:shd w:val="clear" w:color="auto" w:fill="FFFFFF" w:themeFill="background1"/>
          </w:tcPr>
          <w:p w:rsidR="001551D9" w:rsidRPr="001D451A" w:rsidRDefault="004901A9" w:rsidP="005276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  <w:b/>
              </w:rPr>
              <w:t xml:space="preserve">в сопоставимых ценах              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1551D9" w:rsidRPr="001D451A" w:rsidRDefault="001551D9" w:rsidP="004901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="004901A9">
              <w:rPr>
                <w:rFonts w:ascii="Times New Roman" w:hAnsi="Times New Roman" w:cs="Times New Roman"/>
                <w:b/>
              </w:rPr>
              <w:t>август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1551D9" w:rsidRPr="001D451A" w:rsidRDefault="001551D9" w:rsidP="004901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r w:rsidR="004901A9">
              <w:rPr>
                <w:rFonts w:ascii="Times New Roman" w:hAnsi="Times New Roman" w:cs="Times New Roman"/>
                <w:b/>
              </w:rPr>
              <w:t>август</w:t>
            </w:r>
            <w:r w:rsidRPr="001D451A">
              <w:rPr>
                <w:rFonts w:ascii="Times New Roman" w:hAnsi="Times New Roman" w:cs="Times New Roman"/>
                <w:b/>
              </w:rPr>
              <w:t xml:space="preserve"> 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br/>
              <w:t>январю-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r w:rsidR="004901A9">
              <w:rPr>
                <w:rFonts w:ascii="Times New Roman" w:hAnsi="Times New Roman" w:cs="Times New Roman"/>
                <w:b/>
              </w:rPr>
              <w:t>августу</w:t>
            </w:r>
            <w:r w:rsidRPr="001D451A">
              <w:rPr>
                <w:rFonts w:ascii="Times New Roman" w:hAnsi="Times New Roman" w:cs="Times New Roman"/>
                <w:b/>
              </w:rPr>
              <w:t xml:space="preserve"> 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2019 года       (в </w:t>
            </w:r>
            <w:proofErr w:type="spellStart"/>
            <w:r w:rsidRPr="001D451A">
              <w:rPr>
                <w:rFonts w:ascii="Times New Roman" w:hAnsi="Times New Roman" w:cs="Times New Roman"/>
                <w:b/>
              </w:rPr>
              <w:t>сопостави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D451A">
              <w:rPr>
                <w:rFonts w:ascii="Times New Roman" w:hAnsi="Times New Roman" w:cs="Times New Roman"/>
                <w:b/>
              </w:rPr>
              <w:t>мых</w:t>
            </w:r>
            <w:proofErr w:type="spellEnd"/>
            <w:r w:rsidRPr="001D451A">
              <w:rPr>
                <w:rFonts w:ascii="Times New Roman" w:hAnsi="Times New Roman" w:cs="Times New Roman"/>
                <w:b/>
              </w:rPr>
              <w:t xml:space="preserve"> ценах) </w:t>
            </w:r>
          </w:p>
        </w:tc>
      </w:tr>
      <w:tr w:rsidR="001551D9" w:rsidTr="0086423E">
        <w:trPr>
          <w:trHeight w:val="1785"/>
        </w:trPr>
        <w:tc>
          <w:tcPr>
            <w:tcW w:w="205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44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22" w:type="dxa"/>
            <w:shd w:val="clear" w:color="auto" w:fill="FFFFFF" w:themeFill="background1"/>
          </w:tcPr>
          <w:p w:rsidR="001551D9" w:rsidRDefault="004901A9" w:rsidP="00527677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август</w:t>
            </w:r>
            <w:r w:rsidR="00044723">
              <w:rPr>
                <w:rFonts w:ascii="Arial" w:hAnsi="Arial" w:cs="Arial"/>
                <w:b/>
                <w:sz w:val="18"/>
                <w:szCs w:val="20"/>
              </w:rPr>
              <w:t>у</w:t>
            </w:r>
            <w:r w:rsidR="001551D9" w:rsidRPr="00300115">
              <w:rPr>
                <w:rFonts w:ascii="Arial" w:hAnsi="Arial" w:cs="Arial"/>
                <w:b/>
                <w:sz w:val="18"/>
                <w:szCs w:val="20"/>
              </w:rPr>
              <w:br/>
              <w:t>2019 года</w:t>
            </w:r>
          </w:p>
        </w:tc>
        <w:tc>
          <w:tcPr>
            <w:tcW w:w="1523" w:type="dxa"/>
            <w:shd w:val="clear" w:color="auto" w:fill="FFFFFF" w:themeFill="background1"/>
          </w:tcPr>
          <w:p w:rsidR="001551D9" w:rsidRDefault="004901A9" w:rsidP="0086423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июлю</w:t>
            </w:r>
            <w:r w:rsidR="001551D9" w:rsidRPr="00300115">
              <w:rPr>
                <w:rFonts w:ascii="Arial" w:hAnsi="Arial" w:cs="Arial"/>
                <w:b/>
                <w:sz w:val="18"/>
                <w:szCs w:val="20"/>
              </w:rPr>
              <w:br/>
              <w:t>2020 года</w:t>
            </w:r>
          </w:p>
        </w:tc>
        <w:tc>
          <w:tcPr>
            <w:tcW w:w="15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4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2352786,7</w:t>
            </w:r>
          </w:p>
        </w:tc>
        <w:tc>
          <w:tcPr>
            <w:tcW w:w="1522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23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68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18158894,5</w:t>
            </w:r>
          </w:p>
        </w:tc>
        <w:tc>
          <w:tcPr>
            <w:tcW w:w="1568" w:type="dxa"/>
            <w:vAlign w:val="bottom"/>
          </w:tcPr>
          <w:p w:rsidR="001551D9" w:rsidRPr="001D451A" w:rsidRDefault="00527677" w:rsidP="004901A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</w:t>
            </w:r>
            <w:r w:rsidR="004901A9">
              <w:rPr>
                <w:rFonts w:ascii="Times New Roman" w:hAnsi="Times New Roman" w:cs="Times New Roman"/>
              </w:rPr>
              <w:t>5</w:t>
            </w: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4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44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1928973,7</w:t>
            </w:r>
          </w:p>
        </w:tc>
        <w:tc>
          <w:tcPr>
            <w:tcW w:w="1522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523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568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14956073,1</w:t>
            </w:r>
          </w:p>
        </w:tc>
        <w:tc>
          <w:tcPr>
            <w:tcW w:w="1568" w:type="dxa"/>
            <w:vAlign w:val="bottom"/>
          </w:tcPr>
          <w:p w:rsidR="001551D9" w:rsidRPr="001D451A" w:rsidRDefault="004901A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1551D9" w:rsidTr="0086423E">
        <w:trPr>
          <w:trHeight w:val="1235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44" w:type="dxa"/>
            <w:vAlign w:val="bottom"/>
          </w:tcPr>
          <w:p w:rsidR="001551D9" w:rsidRPr="001D451A" w:rsidRDefault="002B76F0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423813,0</w:t>
            </w:r>
          </w:p>
        </w:tc>
        <w:tc>
          <w:tcPr>
            <w:tcW w:w="1522" w:type="dxa"/>
            <w:vAlign w:val="bottom"/>
          </w:tcPr>
          <w:p w:rsidR="001551D9" w:rsidRPr="001D451A" w:rsidRDefault="002B76F0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23" w:type="dxa"/>
            <w:vAlign w:val="bottom"/>
          </w:tcPr>
          <w:p w:rsidR="001551D9" w:rsidRPr="001D451A" w:rsidRDefault="002B76F0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68" w:type="dxa"/>
            <w:vAlign w:val="bottom"/>
          </w:tcPr>
          <w:p w:rsidR="001551D9" w:rsidRPr="001D451A" w:rsidRDefault="002B76F0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3202821,4</w:t>
            </w:r>
          </w:p>
        </w:tc>
        <w:tc>
          <w:tcPr>
            <w:tcW w:w="1568" w:type="dxa"/>
            <w:vAlign w:val="bottom"/>
          </w:tcPr>
          <w:p w:rsidR="001551D9" w:rsidRPr="001D451A" w:rsidRDefault="002B76F0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</w:tbl>
    <w:p w:rsidR="001551D9" w:rsidRPr="008C28F5" w:rsidRDefault="001551D9" w:rsidP="001551D9"/>
    <w:p w:rsidR="001551D9" w:rsidRDefault="001551D9" w:rsidP="001551D9">
      <w:pPr>
        <w:spacing w:after="120" w:line="240" w:lineRule="auto"/>
        <w:ind w:firstLine="709"/>
        <w:jc w:val="center"/>
        <w:rPr>
          <w:rFonts w:ascii="Arial" w:hAnsi="Arial" w:cs="Arial"/>
        </w:rPr>
      </w:pPr>
    </w:p>
    <w:p w:rsidR="001551D9" w:rsidRDefault="001551D9" w:rsidP="001551D9"/>
    <w:p w:rsidR="00376D3F" w:rsidRDefault="00376D3F"/>
    <w:sectPr w:rsidR="00376D3F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D9"/>
    <w:rsid w:val="00044723"/>
    <w:rsid w:val="00060F99"/>
    <w:rsid w:val="001551D9"/>
    <w:rsid w:val="00280D35"/>
    <w:rsid w:val="002B76F0"/>
    <w:rsid w:val="00336811"/>
    <w:rsid w:val="00376D3F"/>
    <w:rsid w:val="003D349C"/>
    <w:rsid w:val="004901A9"/>
    <w:rsid w:val="00493306"/>
    <w:rsid w:val="00527677"/>
    <w:rsid w:val="00551FA8"/>
    <w:rsid w:val="005D2805"/>
    <w:rsid w:val="007E67B2"/>
    <w:rsid w:val="00983FE1"/>
    <w:rsid w:val="00A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58E-2"/>
          <c:y val="0.15476190476190838"/>
          <c:w val="0.95447309945151004"/>
          <c:h val="0.573793246990823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3110473126174607E-2"/>
                  <c:y val="-5.891345312605193E-2"/>
                </c:manualLayout>
              </c:layout>
              <c:showVal val="1"/>
            </c:dLbl>
            <c:dLbl>
              <c:idx val="1"/>
              <c:layout>
                <c:manualLayout>
                  <c:x val="-5.1736943995412128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5.1735277204889484E-2"/>
                  <c:y val="6.0439127801332669E-2"/>
                </c:manualLayout>
              </c:layout>
              <c:showVal val="1"/>
            </c:dLbl>
            <c:dLbl>
              <c:idx val="3"/>
              <c:layout>
                <c:manualLayout>
                  <c:x val="-3.5180203587044503E-2"/>
                  <c:y val="-5.9829059829059825E-2"/>
                </c:manualLayout>
              </c:layout>
              <c:showVal val="1"/>
            </c:dLbl>
            <c:dLbl>
              <c:idx val="4"/>
              <c:layout>
                <c:manualLayout>
                  <c:x val="-4.7596305118875894E-2"/>
                  <c:y val="5.4334410121812941E-2"/>
                </c:manualLayout>
              </c:layout>
              <c:showVal val="1"/>
            </c:dLbl>
            <c:dLbl>
              <c:idx val="5"/>
              <c:layout>
                <c:manualLayout>
                  <c:x val="-3.1041068555788691E-2"/>
                  <c:y val="7.6923076923077024E-2"/>
                </c:manualLayout>
              </c:layout>
              <c:showVal val="1"/>
            </c:dLbl>
            <c:dLbl>
              <c:idx val="6"/>
              <c:layout>
                <c:manualLayout>
                  <c:x val="-3.5179877696560509E-2"/>
                  <c:y val="6.4102564102564139E-2"/>
                </c:manualLayout>
              </c:layout>
              <c:showVal val="1"/>
            </c:dLbl>
            <c:dLbl>
              <c:idx val="7"/>
              <c:layout>
                <c:manualLayout>
                  <c:x val="-3.9318686837332216E-2"/>
                  <c:y val="5.128205128205129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82.2</c:v>
                </c:pt>
                <c:pt idx="4">
                  <c:v>77.599999999999994</c:v>
                </c:pt>
                <c:pt idx="5">
                  <c:v>92.7</c:v>
                </c:pt>
                <c:pt idx="6">
                  <c:v>98.3</c:v>
                </c:pt>
                <c:pt idx="7">
                  <c:v>90.3</c:v>
                </c:pt>
              </c:numCache>
            </c:numRef>
          </c:val>
        </c:ser>
        <c:marker val="1"/>
        <c:axId val="10000256"/>
        <c:axId val="10001792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3457495978104103E-2"/>
                  <c:y val="6.8376068376068411E-2"/>
                </c:manualLayout>
              </c:layout>
              <c:showVal val="1"/>
            </c:dLbl>
            <c:dLbl>
              <c:idx val="1"/>
              <c:layout>
                <c:manualLayout>
                  <c:x val="-4.5526900548489964E-2"/>
                  <c:y val="5.5555219059156127E-2"/>
                </c:manualLayout>
              </c:layout>
              <c:showVal val="1"/>
            </c:dLbl>
            <c:dLbl>
              <c:idx val="2"/>
              <c:layout>
                <c:manualLayout>
                  <c:x val="-3.9318686837332167E-2"/>
                  <c:y val="-7.1123224981492844E-2"/>
                </c:manualLayout>
              </c:layout>
              <c:showVal val="1"/>
            </c:dLbl>
            <c:dLbl>
              <c:idx val="3"/>
              <c:layout>
                <c:manualLayout>
                  <c:x val="-4.3457495978104103E-2"/>
                  <c:y val="5.6165960024227815E-2"/>
                </c:manualLayout>
              </c:layout>
              <c:showVal val="1"/>
            </c:dLbl>
            <c:dLbl>
              <c:idx val="4"/>
              <c:layout>
                <c:manualLayout>
                  <c:x val="-3.7249282266946689E-2"/>
                  <c:y val="-6.4102564102564139E-2"/>
                </c:manualLayout>
              </c:layout>
              <c:showVal val="1"/>
            </c:dLbl>
            <c:dLbl>
              <c:idx val="5"/>
              <c:layout>
                <c:manualLayout>
                  <c:x val="-3.5179877696560814E-2"/>
                  <c:y val="-6.4102564102564139E-2"/>
                </c:manualLayout>
              </c:layout>
              <c:showVal val="1"/>
            </c:dLbl>
            <c:dLbl>
              <c:idx val="6"/>
              <c:layout>
                <c:manualLayout>
                  <c:x val="-3.1041068555788656E-2"/>
                  <c:y val="-8.54700854700855E-2"/>
                </c:manualLayout>
              </c:layout>
              <c:showVal val="1"/>
            </c:dLbl>
            <c:dLbl>
              <c:idx val="7"/>
              <c:layout>
                <c:manualLayout>
                  <c:x val="-3.3110473126174558E-2"/>
                  <c:y val="-6.4102564102564139E-2"/>
                </c:manualLayout>
              </c:layout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76.7</c:v>
                </c:pt>
                <c:pt idx="4">
                  <c:v>92.9</c:v>
                </c:pt>
                <c:pt idx="5">
                  <c:v>124</c:v>
                </c:pt>
                <c:pt idx="6">
                  <c:v>107.6</c:v>
                </c:pt>
                <c:pt idx="7">
                  <c:v>98.1</c:v>
                </c:pt>
              </c:numCache>
            </c:numRef>
          </c:val>
        </c:ser>
        <c:marker val="1"/>
        <c:axId val="10095232"/>
        <c:axId val="10093696"/>
      </c:lineChart>
      <c:catAx>
        <c:axId val="10000256"/>
        <c:scaling>
          <c:orientation val="minMax"/>
        </c:scaling>
        <c:axPos val="b"/>
        <c:tickLblPos val="nextTo"/>
        <c:crossAx val="10001792"/>
        <c:crosses val="autoZero"/>
        <c:auto val="1"/>
        <c:lblAlgn val="ctr"/>
        <c:lblOffset val="100"/>
      </c:catAx>
      <c:valAx>
        <c:axId val="10001792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10000256"/>
        <c:crosses val="autoZero"/>
        <c:crossBetween val="between"/>
        <c:majorUnit val="40"/>
      </c:valAx>
      <c:valAx>
        <c:axId val="10093696"/>
        <c:scaling>
          <c:orientation val="minMax"/>
        </c:scaling>
        <c:axPos val="r"/>
        <c:numFmt formatCode="General" sourceLinked="1"/>
        <c:tickLblPos val="none"/>
        <c:crossAx val="10095232"/>
        <c:crosses val="max"/>
        <c:crossBetween val="between"/>
      </c:valAx>
      <c:catAx>
        <c:axId val="10095232"/>
        <c:scaling>
          <c:orientation val="minMax"/>
        </c:scaling>
        <c:delete val="1"/>
        <c:axPos val="b"/>
        <c:tickLblPos val="nextTo"/>
        <c:crossAx val="1009369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1922E-2"/>
          <c:y val="0.91289870016247965"/>
          <c:w val="0.93045461359963433"/>
          <c:h val="6.3291776027996627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9</cp:revision>
  <dcterms:created xsi:type="dcterms:W3CDTF">2020-08-04T09:11:00Z</dcterms:created>
  <dcterms:modified xsi:type="dcterms:W3CDTF">2020-09-18T08:06:00Z</dcterms:modified>
</cp:coreProperties>
</file>